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LfLLWGGebV (Bayern) — Geltungsbereich</w:t>
      </w:r>
    </w:p>
    <w:p>
      <w:r>
        <w:rPr>
          <w:color w:val="555555"/>
          <w:sz w:val="18"/>
        </w:rPr>
        <w:t xml:space="preserve">Verordnung über Gebühren und Auslagen der Bayerischen Landesanstalten für Landwirtschaft und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Inanspruchnahme der Landesanstalten für Landwirtschaft und für Weinbau und Gartenbau werden Gebühren und Auslagen nach dieser Verordnung erhoben.</w:t>
      </w:r>
    </w:p>
    <w:p>
      <w:r>
        <w:t xml:space="preserve">(2) Diese Verordnung gilt nicht für Leistungen, die die Landesanstalten für das Bundesforschungsinstitut für Kulturpflanzen (Julius Kühn-Institut), für das Bundessortenamt und für andere dem Bundesministerium für Ernährung, Landwirtschaft und Verbraucherschutz unmittelbar nachgeordnete Behörden erbringen.</w:t>
      </w:r>
    </w:p>
    <w:p>
      <w:r>
        <w:rPr>
          <w:color w:val="555555"/>
          <w:sz w:val="17"/>
        </w:rPr>
        <w:t xml:space="preserve">Zitiervorschlag: § 1 LfLLWGGebV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https://recht.nulegal.eu/gesetze/LfLLWGGebV/1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