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LfFV (Bayern)</w:t>
      </w:r>
    </w:p>
    <w:p>
      <w:r>
        <w:rPr>
          <w:color w:val="555555"/>
          <w:sz w:val="18"/>
        </w:rPr>
        <w:t xml:space="preserve">Verordnung über das Landesamt für Finanzen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8. August 2005</w:t>
      </w:r>
    </w:p>
    <w:p>
      <w:r>
        <w:t xml:space="preserve">Bayerisches Staatsministerium der Finanzen</w:t>
      </w:r>
    </w:p>
    <w:p>
      <w:r>
        <w:t xml:space="preserve">Prof. Dr. Kurt Faltlhauser, Staatsminister</w:t>
      </w:r>
    </w:p>
    <w:p>
      <w:r>
        <w:rPr>
          <w:color w:val="555555"/>
          <w:sz w:val="17"/>
        </w:rPr>
        <w:t xml:space="preserve">Zitiervorschlag: Schlussformel LfFV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https://recht.nulegal.eu/gesetze/LfFV/schlussformel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