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LfFV (Bayern) — Landesamt für Finanzen</w:t>
      </w:r>
    </w:p>
    <w:p>
      <w:r>
        <w:rPr>
          <w:color w:val="555555"/>
          <w:sz w:val="18"/>
        </w:rPr>
        <w:t xml:space="preserve">Verordnung über das Landesamt für Finanzen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Landesamt für Finanzen ist als zentrale Landesbehörde zuständig für die Aufgaben der Finanzverwaltung sowie für ressortübergreifende Aufgaben im Bereich der Informations- und Kommunikationstechnik, insbesondere für die Bereiche Personal- und Finanzwesen. Es untersteht der unmittelbaren Fach- und Dienstaufsicht des Staatsministeriums der Finanzen und für Heimat.</w:t>
      </w:r>
    </w:p>
    <w:p>
      <w:r>
        <w:t xml:space="preserve">(2) Das Landesamt für Finanzen hat seinen Sitz in Würzburg. Es wird von einer Präsidentin/einem Präsidenten geleitet.</w:t>
      </w:r>
    </w:p>
    <w:p>
      <w:r>
        <w:t xml:space="preserve">(3) Dienststellen des Landesamts für Finanzen bestehen in Ansbach, Augsburg, Bayreuth, Landshut, Regensburg, Weiden i.d.OPf. und Würzburg. Bearbeitungsstellen des Landesamts für Finanzen bestehen in Ingolstadt, Kaufbeuren, München, Passau, Straubing und Vohenstrauß.</w:t>
      </w:r>
    </w:p>
    <w:p>
      <w:r>
        <w:t xml:space="preserve">(4) Das Landesamt für Finanzen ist für die Aufgaben der Finanzverwaltung sachlich zuständig, die nicht dem Bayerischen Landesamt für Steuern obliegen. Insbesondere ist es zuständig</w:t>
      </w:r>
    </w:p>
    <w:p>
      <w:r>
        <w:t xml:space="preserve">1. für die Festsetzung, Anordnung und Abrechnung der Bezüge von Bediensteten und Versorgungsempfängern sowie für die zentrale Abrechnung von Reisekosten, Trennungsgeld und Umzugskostenvergütung nach Maßgabe der Bezüge-Zuständigkeitsverordnung einschließlich der Wohnungsfürsorge,</w:t>
      </w:r>
    </w:p>
    <w:p>
      <w:r>
        <w:t xml:space="preserve">2. für die gerichtliche Vertretung des Freistaates Bayern nach Maßgabe der Vertretungsverordnung einschließlich Mahnverfahren.</w:t>
      </w:r>
    </w:p>
    <w:p>
      <w:r>
        <w:t xml:space="preserve">(5) Die Dienststellen des Landesamts für Finanzen sind zuständig wie folgt:</w:t>
      </w:r>
    </w:p>
    <w:p>
      <w:r>
        <w:t xml:space="preserve">1. Dienststelle Ansbach für die Durchführung des Gesetzes Nr. 59 der Militärregierung über die Rückerstattung feststellbarer Vermögensgegenstände; es ist auch Wiedergutmachungsbehörde im Sinne dieses Gesetzes,</w:t>
      </w:r>
    </w:p>
    <w:p>
      <w:r>
        <w:t xml:space="preserve">2. Dienststelle Landshut für die Angelegenheiten des im Rahmen der Wiedergutmachung beschlagnahmten und eingezogenen Vermögens, insbesondere gemäß</w:t>
      </w:r>
    </w:p>
    <w:p>
      <w:r>
        <w:t xml:space="preserve">a) dem Gesetz Nr. 52 der Militärregierung über die Sperre und Überwachung von Vermögen,</w:t>
      </w:r>
    </w:p>
    <w:p>
      <w:r>
        <w:t xml:space="preserve">b) dem Gesetz zur Befreiung von Nationalsozialismus und Militarismusvom 5. März 1946 (BayBS III S. 223), das zuletzt durch § 45 des Gesetzes vom 31. Juli 1970 (GVBl. S. 345, BayRS 27-1-I) geändert worden ist, und</w:t>
      </w:r>
    </w:p>
    <w:p>
      <w:r>
        <w:t xml:space="preserve">c) der Direktive Nr. 50 des Kontrollrats vom 29. April 1947 (GVBl. S. 169),</w:t>
      </w:r>
    </w:p>
    <w:p>
      <w:r>
        <w:t xml:space="preserve">3. Dienststelle Würzburg für die Verwaltung und Abwicklung von Nachlassvermögen, das dem Freistaat Bayern als Erben oder Vermächtnisnehmer zufällt, sowie von Vereins- und Stiftungsvermögen, das an den Freistaat Bayern nach § 45 Abs. 3, §§ 46 und 88 des Bürgerlichen Gesetzbuches anfällt.</w:t>
      </w:r>
    </w:p>
    <w:p>
      <w:r>
        <w:t xml:space="preserve">Besondere Regelungen bleiben davon unberührt, ebenso die Aufgabenbereiche anderer dem Staatsministerium der Finanzen und für Heimat unmittelbar nachgeordneter Behörden.</w:t>
      </w:r>
    </w:p>
    <w:p>
      <w:r>
        <w:rPr>
          <w:color w:val="555555"/>
          <w:sz w:val="17"/>
        </w:rPr>
        <w:t xml:space="preserve">Zitiervorschlag: § 1 LfFV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https://recht.nulegal.eu/gesetze/LfFV/1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