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LfAG (Bayern)</w:t>
      </w:r>
    </w:p>
    <w:p>
      <w:r>
        <w:rPr>
          <w:color w:val="555555"/>
          <w:sz w:val="18"/>
        </w:rPr>
        <w:t xml:space="preserve">LfA-Gesetz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Satzung der Bank wird vom Verwaltungsrat beschlossen. Sie bedarf der Genehmigung der Rechtsaufsichtsbehörde. Das Gleiche gilt für Änderungen der Satzung.</w:t>
      </w:r>
    </w:p>
    <w:p>
      <w:r>
        <w:t xml:space="preserve">(2) Der Vorstand hat die Satzung und ihre Änderungen zu veröffentlichen.</w:t>
      </w:r>
    </w:p>
    <w:p>
      <w:r>
        <w:rPr>
          <w:color w:val="555555"/>
          <w:sz w:val="17"/>
        </w:rPr>
        <w:t xml:space="preserve">Zitiervorschlag: Art 8 LfAG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https://recht.nulegal.eu/gesetze/LfAG/8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