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LfAG (Bayern)</w:t>
      </w:r>
    </w:p>
    <w:p>
      <w:r>
        <w:rPr>
          <w:color w:val="555555"/>
          <w:sz w:val="18"/>
        </w:rPr>
        <w:t xml:space="preserve">LfA-Gesetz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Staatsregierung kann der Bank im Rahmen der staatlichen Finanz-, Wirtschafts-, Verkehrs-, Umwelt- und Arbeitsmarktpolitik die Durchführung weiterer Aufgaben schriftlich übertragen.</w:t>
      </w:r>
    </w:p>
    <w:p>
      <w:r>
        <w:t xml:space="preserve">(2) Das Staatsministerium der Finanzen und für Heimat kann der Bank die Durchführung besonderer Finanzgeschäfte schriftlich zuweisen.</w:t>
      </w:r>
    </w:p>
    <w:p>
      <w:r>
        <w:t xml:space="preserve">(3) Die Übertragung von Aufgaben nach Abs. 1 und die Zuweisung von Finanzgeschäften nach Abs. 2 dürfen dem Europäischen Beihilferecht, insbesondere den Grundsätzen und Vorgaben der Europäischen Gemeinschaft für die Geschäftstätigkeit eines Förderinstituts, nicht widersprechen.</w:t>
      </w:r>
    </w:p>
    <w:p>
      <w:r>
        <w:rPr>
          <w:color w:val="555555"/>
          <w:sz w:val="17"/>
        </w:rPr>
        <w:t xml:space="preserve">Zitiervorschlag: Art 6 LfAG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https://recht.nulegal.eu/gesetze/LfAG/6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