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15 LfAG (Bayern)</w:t>
      </w:r>
    </w:p>
    <w:p>
      <w:r>
        <w:rPr>
          <w:color w:val="555555"/>
          <w:sz w:val="18"/>
        </w:rPr>
        <w:t xml:space="preserve">LfA-Gesetz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Geschäfte der Bank sind nach kaufmännischen Grundsätzen zu führen. Dabei ist den der Bank gestellten besonderen Aufgaben Rechnung zu tragen.</w:t>
      </w:r>
    </w:p>
    <w:p>
      <w:r>
        <w:t xml:space="preserve">(2) Die Bank trägt ihre persönlichen und sächlichen Kosten selbst.</w:t>
      </w:r>
    </w:p>
    <w:p>
      <w:r>
        <w:rPr>
          <w:color w:val="555555"/>
          <w:sz w:val="17"/>
        </w:rPr>
        <w:t xml:space="preserve">Zitiervorschlag: Art 15 LfAG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https://recht.nulegal.eu/gesetze/LfAG/15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