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Verwaltungsrat fasst seine Beschlüsse mit einfacher Mehrheit der abgegebenen Stimmen; bei Stimmengleichheit entscheidet die Stimme des Vorsitzenden. Zur Beschlussfähigkeit ist die Teilnahme von mindestens der Hälfte der Mitglieder an der Beschlussfassung erforderlich.</w:t>
      </w:r>
    </w:p>
    <w:p>
      <w:r>
        <w:t xml:space="preserve">(2) Der Verwaltungsrat kann aus seiner Mitte Ausschüsse bilden und bestimmte Aufgaben auf sie übertragen.</w:t>
      </w:r>
    </w:p>
    <w:p>
      <w:r>
        <w:rPr>
          <w:color w:val="555555"/>
          <w:sz w:val="17"/>
        </w:rPr>
        <w:t xml:space="preserve">Zitiervorschlag: Art 13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