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LeuchtrAusbV</w:t>
      </w:r>
    </w:p>
    <w:p>
      <w:r>
        <w:rPr>
          <w:color w:val="555555"/>
          <w:sz w:val="18"/>
        </w:rPr>
        <w:t xml:space="preserve">Leuchtröhrenglasbläser-Ausbildungsverordnung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des Berufsbildungsgesetzes vom 14. August 1969 (BGBl. I S. 1112), der zuletzt durch § 24 Nr. 1 des Gesetzes vom 24. August 1976 (BGBl. I S. 2525) geändert worden ist, wird im Einvernehmen mit dem Bundesminister für Bildung und Wissenschaft verordnet:</w:t>
      </w:r>
    </w:p>
    <w:p>
      <w:r>
        <w:rPr>
          <w:color w:val="555555"/>
          <w:sz w:val="17"/>
        </w:rPr>
        <w:t xml:space="preserve">Zitiervorschlag: Eingangsformel LeuchtrAusbV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https://recht.nulegal.eu/gesetze/LeuchtrAusbV/eingangsformel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