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LeuchtrAusbV — Ausbildungsrahmenplan</w:t>
      </w:r>
    </w:p>
    <w:p>
      <w:r>
        <w:rPr>
          <w:color w:val="555555"/>
          <w:sz w:val="18"/>
        </w:rPr>
        <w:t xml:space="preserve">Leuchtröhrenglasbläser-Ausbildungsverordnung</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4 LeuchtrAusbV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https://recht.nulegal.eu/gesetze/LeuchtrAusbV/4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