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LeuchtrAusbV — Übergangsregelung</w:t>
      </w:r>
    </w:p>
    <w:p>
      <w:r>
        <w:rPr>
          <w:color w:val="555555"/>
          <w:sz w:val="18"/>
        </w:rPr>
        <w:t xml:space="preserve">Leuchtröhrenglasbläser-Ausbildungsverordnung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Berufsausbildungsverhältnisse, die bei Inkrafttreten dieser Verordnung bestehen, sind die bisherigen Vorschriften weiter anzuwenden, es sei denn, die Vertragsparteien vereinbaren die Anwendung der Vorschriften dieser Verordnung.</w:t>
      </w:r>
    </w:p>
    <w:p>
      <w:r>
        <w:rPr>
          <w:color w:val="555555"/>
          <w:sz w:val="17"/>
        </w:rPr>
        <w:t xml:space="preserve">Zitiervorschlag: § 10 LeuchtrAusbV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https://recht.nulegal.eu/gesetze/LeuchtrAusbV/10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