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LeuchtrAusbV — Staatliche Anerkennung des Ausbildungsberufs</w:t>
      </w:r>
    </w:p>
    <w:p>
      <w:r>
        <w:rPr>
          <w:color w:val="555555"/>
          <w:sz w:val="18"/>
        </w:rPr>
        <w:t xml:space="preserve">Leuchtröhrenglasbläser-Ausbildungsverordnung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Leuchtröhrenglasbläser/Leuchtröhrenglasbläserin wird staatlich anerkannt.</w:t>
      </w:r>
    </w:p>
    <w:p>
      <w:r>
        <w:rPr>
          <w:color w:val="555555"/>
          <w:sz w:val="17"/>
        </w:rPr>
        <w:t xml:space="preserve">Zitiervorschlag: § 1 LeuchtrAusbV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https://recht.nulegal.eu/gesetze/LeuchtrAusbV/1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