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LernMV (Brandenburg) — Nicht zulassungspflichtige Lernmittel</w:t>
      </w:r>
    </w:p>
    <w:p>
      <w:r>
        <w:rPr>
          <w:color w:val="555555"/>
          <w:sz w:val="18"/>
        </w:rPr>
        <w:t xml:space="preserve">Lernmittelverordnung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Lehrkräfte dürfen geeignete Einzeltexte und Einzelmaterialien in eigener Verantwortung einsetzen und den Schülerinnen und Schülern als Ergänzungsmaterial aushändigen. Die Beschränkungen des Urheberrechts sind zu berücksichtigen.</w:t>
      </w:r>
    </w:p>
    <w:p>
      <w:r>
        <w:t xml:space="preserve">(2) Von Lehrkräften für den Unterricht entwickelte Lernmittel, die im Rahmen der Beschlüsse der Fachkonferenzen der Schule gemäß § 87 Abs. 3 Nr. 1 des Brandenburgischen Schulgesetzes verwendet werden, unterliegen nicht der Zulassungspflicht. Die Lernmittel müssen die Voraussetzungen gemäß § 14 Abs. 3 des Brandenburgischen Schulgesetzes erfüllen.</w:t>
      </w:r>
    </w:p>
    <w:p>
      <w:r>
        <w:rPr>
          <w:color w:val="555555"/>
          <w:sz w:val="17"/>
        </w:rPr>
        <w:t xml:space="preserve">Zitiervorschlag: § 9 LernMV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https://recht.nulegal.eu/gesetze/LernMV/9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