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LernMV (Brandenburg) — Zulassungsvoraussetzungen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Zulassung von Lernmitteln sind die Voraussetzungen gemäß § 14 Abs. 3 des Brandenburgischen Schulgesetzes zu erfüllen.</w:t>
      </w:r>
    </w:p>
    <w:p>
      <w:r>
        <w:t xml:space="preserve">(2) Lernmittel sollen Ziele und Lerninhalte eines Faches gemäß Rahmenlehrplan in der Regel mindestens einer Jahrgangsstufe beinhalten.</w:t>
      </w:r>
    </w:p>
    <w:p>
      <w:r>
        <w:t xml:space="preserve">(3) Schulbücher sollen in der Regel den Lernmittelbedarf des jeweiligen Faches abdecken. Sie dürfen nicht lediglich ergänzenden Charakter haben oder Ergänzungen durch weitere Lernmittel erforderlich machen.</w:t>
      </w:r>
    </w:p>
    <w:p>
      <w:r>
        <w:rPr>
          <w:color w:val="555555"/>
          <w:sz w:val="17"/>
        </w:rPr>
        <w:t xml:space="preserve">Zitiervorschlag: § 4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