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LernMV (Brandenburg) — Kostenträger</w:t>
      </w:r>
    </w:p>
    <w:p>
      <w:r>
        <w:rPr>
          <w:color w:val="555555"/>
          <w:sz w:val="18"/>
        </w:rPr>
        <w:t xml:space="preserve">Lernmittelverordnung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Kosten der Lernmittelfreiheit trägt gemäß § 110 Abs. 2 Nr. 4 des Brandenburgischen Schulgesetzes der Schulträger. Er hat den Schulen nach Maßgabe von § 7 Absatz 4 des Brandenburgischen Schulgesetzes jährlich finanzielle Mittel mindestens in der in der Anlage 1 festgesetzten Höhe je Schüler für die Lernmittelbeschaffung bereitzustellen. Die Schülerinnen und Schüler oder deren Eltern haben einen Eigenanteil gemäß § 12 dieser Verordnung zu tragen.</w:t>
      </w:r>
    </w:p>
    <w:p>
      <w:r>
        <w:t xml:space="preserve">(2) Die Beträge nach Absatz 1 Satz 2 und 3 werden auf der Grundlage eines Richtbetrages ermittelt, der den durchschnittlich notwendigen Aufwendungen für die Beschaffung der in einem Schuljahr zusätzlich zu dem vorhandenen Bestand erforderlichen Lernmittel entspricht.</w:t>
      </w:r>
    </w:p>
    <w:p>
      <w:r>
        <w:t xml:space="preserve">(3) Der Schulträger hat zusätzlich für</w:t>
      </w:r>
    </w:p>
    <w:p>
      <w:r>
        <w:t xml:space="preserve">Aussiedler in Eingangsklassen für die Beschaffung von Lernmitteln für den Unterricht in "Deutsch als Zweitsprache" sowie</w:t>
      </w:r>
    </w:p>
    <w:p>
      <w:r>
        <w:t xml:space="preserve">schulpflichtige ausländische Schülerinnen und Schüler für den muttersprachlichen Unterricht und für den Unterricht in "Deutsch als Fremdsprache"</w:t>
      </w:r>
    </w:p>
    <w:p>
      <w:r>
        <w:t xml:space="preserve">die in der Anlage 2 festgelegten Beträge bereitzustellen.</w:t>
      </w:r>
    </w:p>
    <w:p>
      <w:r>
        <w:t xml:space="preserve">(4) Die Konferenz der Lehrkräfte entscheidet, welche Lernmittel im Rahmen der bereitgestellten finanziellen Mittel gemäß Absatz 1 Satz 2 sowie der von der Schulkonferenz beschlossenen Grundsätze angeschafft werden. Sie entscheidet auch, welche Lernmittel im Rahmen des Eigenanteils gemäß Absatz 1 Satz 3 gekauft werden sollen.</w:t>
      </w:r>
    </w:p>
    <w:p>
      <w:r>
        <w:t xml:space="preserve">(5) An Schulen mit dem sonderpädagogischen Förderschwerpunkt „geistige Entwicklung" können die gemäß Absatz 1 Satz 2 bereitgestellten Mittel auf Beschluss der Schulkonferenz auch für Gebrauchsmaterial oder Lehrmittel verwendet werden, wenn dafür aus pädagogischen und didaktischen Gründen ein zusätzlicher Bedarf besteht.</w:t>
      </w:r>
    </w:p>
    <w:p>
      <w:r>
        <w:rPr>
          <w:color w:val="555555"/>
          <w:sz w:val="17"/>
        </w:rPr>
        <w:t xml:space="preserve">Zitiervorschlag: § 11 LernMV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https://recht.nulegal.eu/gesetze/LernMV/11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