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LeitAnlZuVO (Sachsen)</w:t>
      </w:r>
    </w:p>
    <w:p>
      <w:r>
        <w:rPr>
          <w:color w:val="555555"/>
          <w:sz w:val="18"/>
        </w:rPr>
        <w:t xml:space="preserve">Verordnung der Sächsischen Staatsregierung über die Zuständigkeit bei der Zulassung von bestimmten Leitungsanlagen und anderen Anlagen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11 des Gesetzes über die Umweltverträglichkeitsprüfung im Freistaat Sachsen (SächsUVPG) in der Fassung der Bekanntmachung vom 9. Juli 2007 (SächsGVBl. S. 349) wird verordnet:</w:t>
      </w:r>
    </w:p>
    <w:p>
      <w:r>
        <w:rPr>
          <w:color w:val="555555"/>
          <w:sz w:val="17"/>
        </w:rPr>
        <w:t xml:space="preserve">Zitiervorschlag: Eingangsformel LeitAnlZuVO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https://recht.nulegal.eu/gesetze/LeitAnlZuVO/eingangsformel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