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LeistBeschV</w:t>
      </w:r>
    </w:p>
    <w:p>
      <w:r>
        <w:rPr>
          <w:color w:val="555555"/>
          <w:sz w:val="18"/>
        </w:rPr>
        <w:t xml:space="preserve">Rechtsverordnung über die Beteiligung sachverständiger Stellen der gewerblichen Wirtschaft an dem Verfahren der Erteilung von Leistungsbescheiden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der in § 2 bezeichneten Aufgaben ist diejenige Industrie- und Handelskammer oder Handwerkskammer zuständig, in deren Bezirk das Unternehmen, das zu einer Leistung herangezogen wurde oder werden soll, seinen Sitz oder eine gewerbliche Niederlassung, Betriebstätte oder Verkaufsstelle hat.</w:t>
      </w:r>
    </w:p>
    <w:p>
      <w:r>
        <w:rPr>
          <w:color w:val="555555"/>
          <w:sz w:val="17"/>
        </w:rPr>
        <w:t xml:space="preserve">Zitiervorschlag: § 3 LeistBeschV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https://recht.nulegal.eu/gesetze/LeistBeschV/3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LeistBeschV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