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LeichtflBAusbV — Übergangsregelung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