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LeichtflBAusbV — Aufhebung von Vorschriften</w:t>
      </w:r>
    </w:p>
    <w:p>
      <w:r>
        <w:rPr>
          <w:color w:val="555555"/>
          <w:sz w:val="18"/>
        </w:rPr>
        <w:t xml:space="preserve">Leichtflugzeugbauer-Ausbildungsverordnung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Berufsbildungspläne und Prüfungsanforderungen für die Lehrberufe, Anlernberufe und vergleichbar geregelte Ausbildungsberufe, die in dieser Verordnung geregelt sind, insbesondere für den Ausbildungsberuf Holzflugzeugbauer/Holzflugzeugbauerin, sind vorbehaltlich des § 11 nicht mehr anzuwenden.</w:t>
      </w:r>
    </w:p>
    <w:p>
      <w:r>
        <w:rPr>
          <w:color w:val="555555"/>
          <w:sz w:val="17"/>
        </w:rPr>
        <w:t xml:space="preserve">Zitiervorschlag: § 10 LeichtflBAusbV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https://recht.nulegal.eu/gesetze/LeichtflBAusbV/10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