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LeichtflBAusbV — Staatliche Anerkennung des Ausbildungsberufs</w:t>
      </w:r>
    </w:p>
    <w:p>
      <w:r>
        <w:rPr>
          <w:color w:val="555555"/>
          <w:sz w:val="18"/>
        </w:rPr>
        <w:t xml:space="preserve">Leichtflugzeugbauer-Ausbildungsverordnung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Leichtflugzeugbauer/Leichtflugzeugbauerin wird staatlich anerkannt.</w:t>
      </w:r>
    </w:p>
    <w:p>
      <w:r>
        <w:rPr>
          <w:color w:val="555555"/>
          <w:sz w:val="17"/>
        </w:rPr>
        <w:t xml:space="preserve">Zitiervorschlag: § 1 LeichtflBAusbV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https://recht.nulegal.eu/gesetze/LeichtflBAusbV/1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