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LehrVV (Brandenburg) — Verfahren bei Ausgleich und Ermäßigung der Lehrverpflichtung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Entscheidungen nach § 8 dürfen nur ergehen, wenn das nach den Prüfungs- und Studienordnungen vorgesehene Gesamtlehrangebot der Hochschule in jedem Semester erfüllt wird.</w:t>
      </w:r>
    </w:p>
    <w:p>
      <w:r>
        <w:t xml:space="preserve">(2) Für Entscheidungen nach § 8 Absatz 3 stehen bei den Universitäten maximal 2,5 Prozent, bei der Brandenburgischen Technischen Universität Cottbus-Senftenberg maximal 6 Prozent, bei der Filmuniversität Babelsberg Konrad Wolf maximal 2,5 Prozent sowie bei den Fachhochschulen maximal 7 Prozent der Gesamtzahl aller Lehrverpflichtungen der hauptberuflich tätigen Lehrpersonen zur Verfügung.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LehrVV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https://recht.nulegal.eu/gesetze/LehrVV/9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