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LehrVV (Brandenburg) — Inkrafttreten, Außerkrafttreten</w:t>
      </w:r>
    </w:p>
    <w:p>
      <w:r>
        <w:rPr>
          <w:color w:val="555555"/>
          <w:sz w:val="18"/>
        </w:rPr>
        <w:t xml:space="preserve">Lehrverpflichtungsverordnung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Lehrverpflichtungsverordnung vom 6. September 2002 (GVBl. II S. 568), die zuletzt durch Artikel 4 des Gesetzes vom 11. Februar 2013 (GVBl. I Nr. 4) geändert worden ist, außer Kraft.</w:t>
      </w:r>
    </w:p>
    <w:p>
      <w:r>
        <w:t xml:space="preserve">Einzelnorm</w:t>
      </w:r>
    </w:p>
    <w:p>
      <w:r>
        <w:t xml:space="preserve">Potsdam, den 13. Januar 2017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13 LehrVV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https://recht.nulegal.eu/gesetze/LehrVV/13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