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LehrVV (Brandenburg) — Übergangsbestimmungen</w:t>
      </w:r>
    </w:p>
    <w:p>
      <w:r>
        <w:rPr>
          <w:color w:val="555555"/>
          <w:sz w:val="18"/>
        </w:rPr>
        <w:t xml:space="preserve">Lehrverpflichtungsverordnung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wissenschaftliche und künstlerische Assistentinnen und Assistenten, Oberassistentinnen und Oberassistenten, Oberingenieurinnen und Oberingenieure sowie Hochschuldozentinnen und Hochschuldozenten gelten die Bestimmungen der Lehrverpflichtungsverordnung vom 6. September 2002 ( GVBl. II S. 568), die zuletzt durch Artikel 4 des Gesetzes vom 11. Februar 2013 (GVBl. I Nr. 4) geändert worden ist, fort.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12 LehrVV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https://recht.nulegal.eu/gesetze/LehrVV/12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