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LehrAÜV (Brandenburg) — Inkrafttreten</w:t>
      </w:r>
    </w:p>
    <w:p>
      <w:r>
        <w:rPr>
          <w:color w:val="555555"/>
          <w:sz w:val="18"/>
        </w:rPr>
        <w:t xml:space="preserve">Lehraufgabenübertragungsverordnung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Einzelnorm</w:t>
      </w:r>
    </w:p>
    <w:p>
      <w:r>
        <w:t xml:space="preserve">Potsdam, den 10. Juni 2020</w:t>
      </w:r>
    </w:p>
    <w:p>
      <w:r>
        <w:t xml:space="preserve">Der Minister des Innern und für Kommunales</w:t>
      </w:r>
    </w:p>
    <w:p>
      <w:r>
        <w:t xml:space="preserve">Michael Stübgen</w:t>
      </w:r>
    </w:p>
    <w:p>
      <w:r>
        <w:rPr>
          <w:color w:val="555555"/>
          <w:sz w:val="17"/>
        </w:rPr>
        <w:t xml:space="preserve">Zitiervorschlag: § 2 LehrAÜV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https://recht.nulegal.eu/gesetze/LehrA%C3%9CV/2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