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LehrAÜLV (Brandenburg)</w:t>
      </w:r>
    </w:p>
    <w:p>
      <w:r>
        <w:rPr>
          <w:color w:val="555555"/>
          <w:sz w:val="18"/>
        </w:rPr>
        <w:t xml:space="preserve">Verordnung zur Überleitung von Lehrerämtern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mit Wirkung vom 1. Juli 1995 in Kraft.</w:t>
      </w:r>
    </w:p>
    <w:p>
      <w:r>
        <w:t xml:space="preserve">Potsdam, den 23. Mai 1996</w:t>
      </w:r>
    </w:p>
    <w:p>
      <w:r>
        <w:t xml:space="preserve">Die Ministerin der Finanzen</w:t>
      </w:r>
    </w:p>
    <w:p>
      <w:r>
        <w:t xml:space="preserve">Dr. Wilma Simon</w:t>
      </w:r>
    </w:p>
    <w:p>
      <w:r>
        <w:rPr>
          <w:color w:val="555555"/>
          <w:sz w:val="17"/>
        </w:rPr>
        <w:t xml:space="preserve">Zitiervorschlag: § 2 LehrAÜLV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https://recht.nulegal.eu/gesetze/LehrA%C3%9CLV/2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