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LegRegZV (Brandenburg)</w:t>
      </w:r>
    </w:p>
    <w:p>
      <w:r>
        <w:rPr>
          <w:color w:val="555555"/>
          <w:sz w:val="18"/>
        </w:rPr>
        <w:t xml:space="preserve">Verordnung über Zuständigkeiten nach dem Legehennenbetriebsregistergesetz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mit Wirkung vom 1. Oktober 2003 in Kraft.</w:t>
      </w:r>
    </w:p>
    <w:p>
      <w:r>
        <w:t xml:space="preserve">Potsdam, den 20. Juli 2004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Der Minister für Landwirtschaft,</w:t>
      </w:r>
    </w:p>
    <w:p>
      <w:r>
        <w:t xml:space="preserve">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2 LegRegZV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https://recht.nulegal.eu/gesetze/LegRegZV/2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