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LegRegZV (Brandenburg)</w:t>
      </w:r>
    </w:p>
    <w:p>
      <w:r>
        <w:rPr>
          <w:color w:val="555555"/>
          <w:sz w:val="18"/>
        </w:rPr>
        <w:t xml:space="preserve">Verordnung über Zuständigkeiten nach dem Legehennenbetriebsregistergesetz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Zuständige Behörde im Sinne der §§ 4, 5 und 7 sowie zuständige Verwaltungsbehörde für die Verfolgung und Ahndung von Ordnungswidrigkeiten nach § 10 des Legehennenbetriebsregistergesetzes ist das Landesamt für Verbraucherschutz, Landwirtschaft und Flurneuordnung.</w:t>
      </w:r>
    </w:p>
    <w:p>
      <w:r>
        <w:rPr>
          <w:color w:val="555555"/>
          <w:sz w:val="17"/>
        </w:rPr>
        <w:t xml:space="preserve">Zitiervorschlag: § 1 LegRegZV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