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LegRegV</w:t>
      </w:r>
    </w:p>
    <w:p>
      <w:r>
        <w:rPr>
          <w:color w:val="555555"/>
          <w:sz w:val="18"/>
        </w:rPr>
        <w:t xml:space="preserve">Legehennenbetriebsregisterverordnung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1 Nr. 2, 3 und 4 des Legehennenbetriebsregistergesetzes vom 12. September 2003 (BGBl. I S. 1894) verordnet das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LegRegV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