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LegRegG — Verordnungsermächtigungen</w:t>
      </w:r>
    </w:p>
    <w:p>
      <w:r>
        <w:rPr>
          <w:color w:val="555555"/>
          <w:sz w:val="18"/>
        </w:rPr>
        <w:t xml:space="preserve">Legehennenbetriebsregistergesetz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Bundesministerium wird ermächtigt, durch Rechtsverordnung mit Zustimmung des Bundesrates</w:t>
      </w:r>
    </w:p>
    <w:p>
      <w:pPr>
        <w:ind w:left="420"/>
      </w:pPr>
      <w:r>
        <w:t xml:space="preserve">1. Ausnahmen vom Anwendungsbereich des § 1 Abs. 2 zu bestimmen, soweit Rechtsakte im Sinne des § 1 Abs. 1 Satz 2 nicht entgegenstehen,</w:t>
      </w:r>
    </w:p>
    <w:p>
      <w:pPr>
        <w:ind w:left="420"/>
      </w:pPr>
      <w:r>
        <w:t xml:space="preserve">2. eine freiwillige Registrierung für Betriebe, die auf Grund einer nach Nummer 1 erlassenen Rechtsverordnung oder nach § 1 Abs. 2 nicht registrierungspflichtig sind, zu eröffnen und zu bestimmen, dass für diese Betriebe die Vorschriften dieses Gesetzes, der auf Grund dieses Gesetzes erlassenen Rechtsverordnungen sowie die Rechtsakte im Sinne des § 1 Abs. 1 Satz 2 ganz oder teilweise entsprechend anwendbar sind,</w:t>
      </w:r>
    </w:p>
    <w:p>
      <w:pPr>
        <w:ind w:left="420"/>
      </w:pPr>
      <w:r>
        <w:t xml:space="preserve">3. die Durchführung der Registrierung und die nähere Ausgestaltung der Kennnummer zu regeln,</w:t>
      </w:r>
    </w:p>
    <w:p>
      <w:pPr>
        <w:ind w:left="420"/>
      </w:pPr>
      <w:r>
        <w:t xml:space="preserve">4. das Verfahren der Datenverarbeitung und Datennutzung nach § 5 zu regeln, soweit es für die Durchführung dieses Gesetzes, der auf Grund dieses Gesetzes erlassenen Rechtsverordnungen sowie der Rechtsakte im Sinne des § 1 Abs. 1 Satz 2 erforderlich ist.</w:t>
      </w:r>
    </w:p>
    <w:p>
      <w:r>
        <w:t xml:space="preserve">(2) Das Bundesministerium wird ferner ermächtigt, durch Rechtsverordnung ohne Zustimmung des Bundesrates Verweisungen auf Vorschriften der Verordnung (EU) Nr. 1308/2013 und der Verordnung (EG) Nr. 834/2007 in diesem Gesetz zu ändern, soweit es zur Anpassung an Änderungen dieser Vorschriften erforderlich ist.</w:t>
      </w:r>
    </w:p>
    <w:p>
      <w:r>
        <w:t xml:space="preserve">(3) Rechtsverordnungen nach Absatz 1 können ohne Zustimmung des Bundesrates erlassen werden, wenn ihr unverzügliches Inkrafttreten zur Umsetzung oder Durchführung von in § 1 Abs. 2 genannten Rechtsakten erforderlich ist und ihre Geltungsdauer auf einen bestimmten Zeitraum von höchstens sechs Monaten begrenzt wird. Ihre Geltungsdauer kann nur mit Zustimmung des Bundesrates verlängert werden.</w:t>
      </w:r>
    </w:p>
    <w:p>
      <w:r>
        <w:rPr>
          <w:color w:val="555555"/>
          <w:sz w:val="17"/>
        </w:rPr>
        <w:t xml:space="preserve">Zitiervorschlag: § 8 LegRegG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https://recht.nulegal.eu/gesetze/LegRegG/8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