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LegRegG — Überwachung, Befugnisse der zuständigen Behörde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Beachtung der Vorschriften dieses Gesetzes und der auf Grund dieses Gesetzes erlassenen Rechtsverordnungen sowie der in § 1 Abs. 1 Satz 2 genannten Rechtsakte, soweit sie unmittelbare Geltung besitzen, unterliegt der Aufsicht der zuständigen Behörde.</w:t>
      </w:r>
    </w:p>
    <w:p>
      <w:r>
        <w:t xml:space="preserve">(2) Die zuständige Behörde kann die zur Beseitigung festgestellter Verstöße und die zur Verhütung künftiger Verstöße notwendigen Anordnungen treffen. Insbesondere kann sie</w:t>
      </w:r>
    </w:p>
    <w:p>
      <w:pPr>
        <w:ind w:left="420"/>
      </w:pPr>
      <w:r>
        <w:t xml:space="preserve">1. den Inhaber eines Betriebes zur unverzüglichen Abgabe einer Änderungsanzeige auffordern, wenn sie bei der Überwachung feststellt, dass Angaben aus früheren Anzeigen unrichtig geworden sind,</w:t>
      </w:r>
    </w:p>
    <w:p>
      <w:pPr>
        <w:ind w:left="420"/>
      </w:pPr>
      <w:r>
        <w:t xml:space="preserve">2. im Falle eines Verstoßes gegen eine Anzeigepflicht nach § 3 untersagen, dass die von dem Verstoß betroffenen Eier in Verkehr gebracht werden.</w:t>
      </w:r>
    </w:p>
    <w:p>
      <w:r>
        <w:t xml:space="preserve">(3) Personen, die von der zuständigen Behörde beauftragt sind, sowie in ihrer Begleitung befindliche Sachverständige der Europäischen Kommission und anderer Mitgliedstaaten dürfen im Rahmen des Absatzes 1</w:t>
      </w:r>
    </w:p>
    <w:p>
      <w:pPr>
        <w:ind w:left="420"/>
      </w:pPr>
      <w:r>
        <w:t xml:space="preserve">1. während der Geschäfts- oder Betriebszeit Grundstücke, Geschäftsräume und Wirtschaftsgebäude betreten,</w:t>
      </w:r>
    </w:p>
    <w:p>
      <w:pPr>
        <w:ind w:left="420"/>
      </w:pPr>
      <w:r>
        <w:t xml:space="preserve">2. Besichtigungen vornehmen,</w:t>
      </w:r>
    </w:p>
    <w:p>
      <w:pPr>
        <w:ind w:left="420"/>
      </w:pPr>
      <w:r>
        <w:t xml:space="preserve">3. Proben entnehmen,</w:t>
      </w:r>
    </w:p>
    <w:p>
      <w:pPr>
        <w:ind w:left="420"/>
      </w:pPr>
      <w:r>
        <w:t xml:space="preserve">4. Geschäftsunterlagen einsehen und prüfen und</w:t>
      </w:r>
    </w:p>
    <w:p>
      <w:pPr>
        <w:ind w:left="420"/>
      </w:pPr>
      <w:r>
        <w:t xml:space="preserve">5. die erforderlichen Auskünfte verlangen.</w:t>
      </w:r>
    </w:p>
    <w:p>
      <w:r>
        <w:t xml:space="preserve">(4) Inhaber der Betriebe nach § 1 Abs. 2 und die Halter sind verpflichtet,</w:t>
      </w:r>
    </w:p>
    <w:p>
      <w:pPr>
        <w:ind w:left="420"/>
      </w:pPr>
      <w:r>
        <w:t xml:space="preserve">1. das Betreten der Grundstücke, Geschäftsräume und Wirtschaftsgebäude nach Absatz 3 Nr. 1, die dort vorzunehmenden Besichtigungen nach Absatz 3 Nr. 2, die Probenahme nach Absatz 3 Nr. 3 und die Prüfung der Geschäftsunterlagen nach Absatz 3 Nr. 4 zu dulden und</w:t>
      </w:r>
    </w:p>
    <w:p>
      <w:pPr>
        <w:ind w:left="420"/>
      </w:pPr>
      <w:r>
        <w:t xml:space="preserve">2. bei Besichtigungen mitzuwirken, insbesondere auf Verlangen geschäftliche Unterlagen vorzulegen und die erforderlichen Auskünfte zu erteilen.</w:t>
      </w:r>
    </w:p>
    <w:p>
      <w:r>
        <w:t xml:space="preserve">(5) Wer zur Erteilung einer Auskunft verpflichtet ist, kann die Auskunft auf solche Fragen verweigern, deren Beantwortung ihn selbst oder einen der in § 383 Abs. 1 Nr. 1 bis 3 der Zivilprozessordnung bezeichneten Angehörigen der Gefahr strafgerichtlicher Verfolgung oder eines Verfahrens nach dem Gesetz über Ordnungswidrigkeiten aussetzen würde.</w:t>
      </w:r>
    </w:p>
    <w:p>
      <w:r>
        <w:rPr>
          <w:color w:val="555555"/>
          <w:sz w:val="17"/>
        </w:rPr>
        <w:t xml:space="preserve">Zitiervorschlag: § 7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