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LederVAusbV — Anrechnungsregelung</w:t>
      </w:r>
    </w:p>
    <w:p>
      <w:r>
        <w:rPr>
          <w:color w:val="555555"/>
          <w:sz w:val="18"/>
        </w:rPr>
        <w:t xml:space="preserve">Verordnung über die Berufsausbildung zur Fachkraft für Lederverarbeitung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erfolgreich abgeschlossene Berufsausbildung zur Fachkraft für Lederverarbeitung nach dieser Verordnung führt bei einer Berufsausbildung</w:t>
      </w:r>
    </w:p>
    <w:p>
      <w:pPr>
        <w:ind w:left="420"/>
      </w:pPr>
      <w:r>
        <w:t xml:space="preserve">1. zum Schuhfertiger oder zur Schuhfertigerin nach der Verordnung über die Berufsausbildung zum Schuhfertiger/zur Schuhfertigerin vom 11. Mai 1998 (BGBl. I S. 909), die durch Artikel 1 der Verordnung vom 14. Februar 2011 (BGBl. I S. 262) geändert worden ist, zu einer Verkürzung der Ausbildungsdauer um zwei Jahre,</w:t>
      </w:r>
    </w:p>
    <w:p>
      <w:pPr>
        <w:ind w:left="420"/>
      </w:pPr>
      <w:r>
        <w:t xml:space="preserve">2. zum Sattler oder zur Sattlerin nach der Verordnung über die Berufsausbildung zum Sattler/zur Sattlerin vom 23. März 2005 (BGBl. I S. 913), die durch Artikel 1 der Verordnung vom 14. Februar 2011 (BGBl. I S. 263) geändert worden ist, zu einer Verkürzung der Ausbildungsdauer um ein Jahr.</w:t>
      </w:r>
    </w:p>
    <w:p>
      <w:r>
        <w:rPr>
          <w:color w:val="555555"/>
          <w:sz w:val="17"/>
        </w:rPr>
        <w:t xml:space="preserve">Zitiervorschlag: § 7 LederVAusbV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https://recht.nulegal.eu/gesetze/LederVAusbV/7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