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LederGerbAusbV</w:t>
      </w:r>
    </w:p>
    <w:p>
      <w:r>
        <w:rPr>
          <w:color w:val="555555"/>
          <w:sz w:val="18"/>
        </w:rPr>
        <w:t xml:space="preserve">Lederherstellungs- und Gerbereitechnikausbildungsverordnung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Absatz 1 des Berufsbildungsgesetzes, der durch Artikel 232 Nummer 1 der Verordnung vom 31. Oktober 2006 (BGBl. I S. 2407) geändert worden ist, sowie auf Grund des § 25 Absatz 1 der Handwerksordnung, der zuletzt durch Artikel 146 der Verordnung vom 31. Oktober 2006 (BGBl. I S. 2407) geändert worden ist, jeweils in Verbindung mit § 1 Absatz 2 des Zuständigkeitsanpassungsgesetzes vom 16. August 2002 (BGBl. I S. 3165) und dem Organisationserlass vom 17. Dezember 2013 (BGBl. I S. 4310),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LederGerbAusbV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https://recht.nulegal.eu/gesetze/LederGerbAusbV/eingangsformel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