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LederGerbAusbV — Prüfungsbereiche von Teil 1</w:t>
      </w:r>
    </w:p>
    <w:p>
      <w:r>
        <w:rPr>
          <w:color w:val="555555"/>
          <w:sz w:val="18"/>
        </w:rPr>
        <w:t xml:space="preserve">Lederherstellungs- und Gerbereitechnikausbildungsverordnung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Abschluss- und Gesellenprüfung findet in den folgenden Prüfungsbereichen statt:</w:t>
      </w:r>
    </w:p>
    <w:p>
      <w:pPr>
        <w:ind w:left="420"/>
      </w:pPr>
      <w:r>
        <w:t xml:space="preserve">1. Blößenherstellung und Trocknung von Leder sowie</w:t>
      </w:r>
    </w:p>
    <w:p>
      <w:pPr>
        <w:ind w:left="420"/>
      </w:pPr>
      <w:r>
        <w:t xml:space="preserve">2. Technologie der Blößenherstellung und der Gerbung.</w:t>
      </w:r>
    </w:p>
    <w:p>
      <w:r>
        <w:rPr>
          <w:color w:val="555555"/>
          <w:sz w:val="17"/>
        </w:rPr>
        <w:t xml:space="preserve">Zitiervorschlag: § 9 LederGerbAusbV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https://recht.nulegal.eu/gesetze/LederGerbAusbV/9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LederGerbAusbV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