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LederGerbAusbV — Prüfungsbereiche von Teil 2</w:t>
      </w:r>
    </w:p>
    <w:p>
      <w:r>
        <w:rPr>
          <w:color w:val="555555"/>
          <w:sz w:val="18"/>
        </w:rPr>
        <w:t xml:space="preserve">Lederherstellungs- und Gerbereitechnikausbildungsverordnung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Abschluss- und Gesellenprüfung findet in folgenden Prüfungsbereichen statt:</w:t>
      </w:r>
    </w:p>
    <w:p>
      <w:pPr>
        <w:ind w:left="420"/>
      </w:pPr>
      <w:r>
        <w:t xml:space="preserve">1. Nasszurichtungs- und Zurichtungsprozesse,</w:t>
      </w:r>
    </w:p>
    <w:p>
      <w:pPr>
        <w:ind w:left="420"/>
      </w:pPr>
      <w:r>
        <w:t xml:space="preserve">2. Technologie der Nasszurichtung und Zurichtung sowie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13 LederGerbAusbV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https://recht.nulegal.eu/gesetze/LederGerbAusbV/13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