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LederGerbAusbV — Prüfungsbereich Technologie der Blößenherstellung und der Gerbung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Technologie der Blößenherstellung und der Gerbung soll der Prüfling nachweisen, dass er in der Lage ist,</w:t>
      </w:r>
    </w:p>
    <w:p>
      <w:pPr>
        <w:ind w:left="420"/>
      </w:pPr>
      <w:r>
        <w:t xml:space="preserve">1. den histologischen Aufbau und Eigenschaften von Rohwaren hinsichtlich ihrer Verwendung zu unterscheiden,</w:t>
      </w:r>
    </w:p>
    <w:p>
      <w:pPr>
        <w:ind w:left="420"/>
      </w:pPr>
      <w:r>
        <w:t xml:space="preserve">2. Blößen herzustellen und auf die Gerbung vorzubereiten,</w:t>
      </w:r>
    </w:p>
    <w:p>
      <w:pPr>
        <w:ind w:left="420"/>
      </w:pPr>
      <w:r>
        <w:t xml:space="preserve">3. Blößen mechanisch zu bearbeiten und mit kollagenen Nebenprodukten umzugehen,</w:t>
      </w:r>
    </w:p>
    <w:p>
      <w:pPr>
        <w:ind w:left="420"/>
      </w:pPr>
      <w:r>
        <w:t xml:space="preserve">4. Gerbverfahren und Gerbmittel zu unterscheiden, Gerbverfahren durchzuführen und</w:t>
      </w:r>
    </w:p>
    <w:p>
      <w:pPr>
        <w:ind w:left="420"/>
      </w:pPr>
      <w:r>
        <w:t xml:space="preserve">5. prozessbezogene Berechnungen durchzuführen.</w:t>
      </w:r>
    </w:p>
    <w:p>
      <w:r>
        <w:t xml:space="preserve">(2) Der Prüfling soll Aufgaben schriftlich bearbeiten.</w:t>
      </w:r>
    </w:p>
    <w:p>
      <w:r>
        <w:t xml:space="preserve">(3) Die Prüfungszeit beträgt 105 Minuten.</w:t>
      </w:r>
    </w:p>
    <w:p>
      <w:r>
        <w:rPr>
          <w:color w:val="555555"/>
          <w:sz w:val="17"/>
        </w:rPr>
        <w:t xml:space="preserve">Zitiervorschlag: § 11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