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LebensMAusbV — Struktur der Berufsausbildung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 in einem der Schwerpunkte</w:t>
      </w:r>
    </w:p>
    <w:p>
      <w:pPr>
        <w:ind w:left="420"/>
      </w:pPr>
      <w:r>
        <w:t xml:space="preserve">A. Bäckerei</w:t>
      </w:r>
    </w:p>
    <w:p>
      <w:pPr>
        <w:ind w:left="420"/>
      </w:pPr>
      <w:r>
        <w:t xml:space="preserve">B. Konditorei oder</w:t>
      </w:r>
    </w:p>
    <w:p>
      <w:pPr>
        <w:ind w:left="420"/>
      </w:pPr>
      <w:r>
        <w:t xml:space="preserve">C. Fleischerei.</w:t>
      </w:r>
    </w:p>
    <w:p>
      <w:r>
        <w:rPr>
          <w:color w:val="555555"/>
          <w:sz w:val="17"/>
        </w:rPr>
        <w:t xml:space="preserve">Zitiervorschlag: § 4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