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12 LebensMAusbV — Inkrafttreten, Außerkrafttreten</w:t>
      </w:r>
    </w:p>
    <w:p>
      <w:r>
        <w:rPr>
          <w:color w:val="555555"/>
          <w:sz w:val="18"/>
        </w:rPr>
        <w:t xml:space="preserve">Verordnung über die Berufsausbildung zum Fachverkäufer im Lebensmittelhandwerk/zur Fachverkäuferin im Lebensmittelhandwerk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August 2006 in Kraft.</w:t>
      </w:r>
    </w:p>
    <w:p>
      <w:r>
        <w:rPr>
          <w:color w:val="555555"/>
          <w:sz w:val="17"/>
        </w:rPr>
        <w:t xml:space="preserve">Zitiervorschlag: § 12 LebensMAusbV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https://recht.nulegal.eu/gesetze/LebensMAusbV/12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