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LastG — Erstattung durch die Länder</w:t>
      </w:r>
    </w:p>
    <w:p>
      <w:r>
        <w:rPr>
          <w:color w:val="555555"/>
          <w:sz w:val="18"/>
        </w:rPr>
        <w:t xml:space="preserve">Lastentragungsgesetz</w:t>
      </w:r>
    </w:p>
    <w:p>
      <w:r>
        <w:rPr>
          <w:color w:val="555555"/>
          <w:sz w:val="18"/>
        </w:rPr>
        <w:t xml:space="preserve">Stand: 10.06.2019 (konsolidierte Textfassung, kein amtliches Inkrafttretensdatum)</w:t>
      </w:r>
    </w:p>
    <w:p>
      <w:r>
        <w:t xml:space="preserve">(1) Soweit der Bund die Leistungspflichten im Außenverhältnis zu der zwischenstaatlichen Einrichtung erfüllt oder die finanziellen Lasten aus anderen Gründen unmittelbar beim Bund eintreten, erstatten die Länder dem Bund die aufgewendeten Beträge im Verhältnis der jeweiligen Lastentragung.</w:t>
      </w:r>
    </w:p>
    <w:p>
      <w:r>
        <w:t xml:space="preserve">(2) Der Erstattungsanspruch entsteht im Zeitpunkt der Erfüllung der Leistungspflicht durch den Bund. Soweit die Bundesregierung auf Verlangen eines Landes zur Einlegung eines Rechtsmittels verpflichtet ist, ist der Zeitpunkt der Einlegung maßgeblich.</w:t>
      </w:r>
    </w:p>
    <w:p>
      <w:r>
        <w:t xml:space="preserve">(3) Für den Fall der Rückabwicklung des Vollzugs von Finanzkorrekturen durch die Kommission auf der Grundlage einer Entscheidung des Gerichtshofes der Europäischen Gemeinschaften fließen den Ländern die insoweit von der Kommission zurückerstatteten Mittel in dem Verhältnis zu, in dem die Länder diese Mittel aufgebracht oder erstattet haben.</w:t>
      </w:r>
    </w:p>
    <w:p>
      <w:r>
        <w:rPr>
          <w:color w:val="555555"/>
          <w:sz w:val="17"/>
        </w:rPr>
        <w:t xml:space="preserve">Zitiervorschlag: § 5 LastG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https://recht.nulegal.eu/gesetze/LastG/5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