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LastG — Grundsätze der Lastentragung</w:t>
      </w:r>
    </w:p>
    <w:p>
      <w:r>
        <w:rPr>
          <w:color w:val="555555"/>
          <w:sz w:val="18"/>
        </w:rPr>
        <w:t xml:space="preserve">Lastentragungsgesetz</w:t>
      </w:r>
    </w:p>
    <w:p>
      <w:r>
        <w:rPr>
          <w:color w:val="555555"/>
          <w:sz w:val="18"/>
        </w:rPr>
        <w:t xml:space="preserve">Stand: 10.06.2019 (konsolidierte Textfassung, kein amtliches Inkrafttretensdatum)</w:t>
      </w:r>
    </w:p>
    <w:p>
      <w:r>
        <w:t xml:space="preserve">(1) Verpflichtungen der Bundesrepublik Deutschland zu finanzwirksamen Leistungen wegen der Verletzung supranationaler oder völkerrechtlicher Verpflichtungen im Bereich der Gesetzgebung, der Verwaltung oder der Rechtsprechung werden im Verhältnis von Bund und Ländern von derjenigen staatlichen Ebene getragen, in deren innerstaatlichen Zuständigkeits- und Aufgabenbereich die lastenbegründende Pflichtverletzung erfolgt ist.</w:t>
      </w:r>
    </w:p>
    <w:p>
      <w:r>
        <w:t xml:space="preserve">(2) Bei festgestellten Pflichtverletzungen im innerstaatlichen Zuständigkeits- und Aufgabenbereich sowohl des Bundes als auch der Länder, tragen Bund und Länder die Lasten in dem Verhältnis des Umfangs, in dem ihre Pflichtverletzungen zur Entstehung der Leistungspflicht beigetragen haben, soweit dieses Gesetz nicht etwas anderes bestimmt.</w:t>
      </w:r>
    </w:p>
    <w:p>
      <w:r>
        <w:rPr>
          <w:color w:val="555555"/>
          <w:sz w:val="17"/>
        </w:rPr>
        <w:t xml:space="preserve">Zitiervorschlag: § 1 LastG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