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LandmMechMstrV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10.06.2019 bis 01.08.2025. Dies ist nicht die aktuelle Fassung.</w:t>
      </w:r>
    </w:p>
    <w:p>
      <w:r>
        <w:t xml:space="preserve">Auf Grund des § 45 der Handwerksordnung in der Fassung der Bekanntmachung vom 24. September 1998 (BGBl. I S. 3074) in Verbindung mit Artikel 56 Abs. 1 des Zuständigkeitsanpassungs-Gesetzes vom 18. März 1975 (BGBl. I S. 705) und dem Organisationserlass vom 27. Oktober 1998 (BGBl. I S. 3288) verordnet das Bundesministerium für Wirtschaft und Technologie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