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LandmMechMstrV — Gliederung und Inhalt der Meisterprüfung</w:t>
      </w:r>
    </w:p>
    <w:p>
      <w:r>
        <w:rPr>
          <w:color w:val="555555"/>
          <w:sz w:val="18"/>
        </w:rPr>
        <w:t xml:space="preserve">Land- und Baumaschinenmechatronikermeisterverordnung</w:t>
      </w:r>
    </w:p>
    <w:p>
      <w:r>
        <w:rPr>
          <w:color w:val="555555"/>
          <w:sz w:val="18"/>
        </w:rPr>
        <w:t xml:space="preserve">Historische Fassung: Stand 02.12.2021 bis 01.08.2025. Dies ist nicht die aktuelle Fassung.</w:t>
      </w:r>
    </w:p>
    <w:p>
      <w:r>
        <w:t xml:space="preserve">Die Meisterprüfung im Land- und Baumaschinenmechatroniker-Handwerk umfasst folgende selbständige Prüfungsteile:</w:t>
      </w:r>
    </w:p>
    <w:p>
      <w:pPr>
        <w:ind w:left="420"/>
      </w:pPr>
      <w:r>
        <w:t xml:space="preserve">1. die Prüfung der meisterhaften Verrichtung der gebräuchlichen Arbeiten (Teil I),</w:t>
      </w:r>
    </w:p>
    <w:p>
      <w:pPr>
        <w:ind w:left="420"/>
      </w:pPr>
      <w:r>
        <w:t xml:space="preserve">2. die Prüfung der erforderlichen fachtheoretischen Kenntnisse (Teil II),</w:t>
      </w:r>
    </w:p>
    <w:p>
      <w:pPr>
        <w:ind w:left="420"/>
      </w:pPr>
      <w:r>
        <w:t xml:space="preserve">3. die Prüfung der erforderlichen betriebswirtschaftlichen, kaufmännischen und rechtlichen Kenntnisse (Teil III) und</w:t>
      </w:r>
    </w:p>
    <w:p>
      <w:pPr>
        <w:ind w:left="420"/>
      </w:pPr>
      <w:r>
        <w:t xml:space="preserve">4. die Prüfung der erforderlichen berufs- und arbeitspädagogischen Kenntnisse (Teil IV).</w:t>
      </w:r>
    </w:p>
    <w:p>
      <w:r>
        <w:rPr>
          <w:color w:val="555555"/>
          <w:sz w:val="17"/>
        </w:rPr>
        <w:t xml:space="preserve">Zitiervorschlag: § 1 LandmMechMstrV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https://recht.nulegal.eu/gesetze/LandmMechMstrV/1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