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LandBauMechMstrV</w:t>
      </w:r>
    </w:p>
    <w:p>
      <w:r>
        <w:rPr>
          <w:color w:val="555555"/>
          <w:sz w:val="18"/>
        </w:rPr>
        <w:t xml:space="preserve">Land- und Baumaschinenmechatronikermeisterverordnung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Auf Grund des § 45 Absatz 1 der Handwerksordnung in der Fassung der Bekanntmachung vom 24. September 1998 (BGBl. I S. 3074; 2006 I S. 2095), der zuletzt durch Artikel 2 Nummer 1 des Gesetzes vom 9. November 2022 (BGBl. I S. 2009) geändert worden ist, verordnet das Bundesministerium für Wirtschaft und Klimaschutz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LandBauMechMstrV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https://recht.nulegal.eu/gesetze/LandBauMechMstrV/eingangsformel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