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LandBauMechMstrV — Gewichtung, Bestehen der Prüfung in Teil I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Das Meisterprüfungsprojekt, das Fachgespräch und die Situationsaufgabe werden gesondert bewertet. Bei Berechnung des Gesamtergebnisses der Prüfung in Teil I der Meisterprüfung nach Maßgabe der Vorschriften der Meisterprüfungsverfahrensverordnung werden zunächst die Bewertung des Meisterprüfungsprojekts und die Bewertung des Fachgesprächs im Verhältnis 3:1 gewichtet; anschließend wird das hieraus folgende Ergebnis mit der Bewertung der Situationsaufgabe im Verhältnis 2:1 gewichtet.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Meisterprüfungsprojekt, das Fachgespräch und die Situationsaufgabe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8 LandBauMechMstrV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https://recht.nulegal.eu/gesetze/LandBauMechMstrV/8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