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LandBauMechMstrV — Ziel und Gliederung der Prüfung in Teil I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Land- und Baumaschinenmechatroniker-Handwerks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5 und ein darauf bezogenes Fachgespräch nach § 6 sowie</w:t>
      </w:r>
    </w:p>
    <w:p>
      <w:pPr>
        <w:ind w:left="420"/>
      </w:pPr>
      <w:r>
        <w:t xml:space="preserve">2. eine Situationsaufgabe nach § 7.</w:t>
      </w:r>
    </w:p>
    <w:p>
      <w:r>
        <w:rPr>
          <w:color w:val="555555"/>
          <w:sz w:val="17"/>
        </w:rPr>
        <w:t xml:space="preserve">Zitiervorschlag: § 4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