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LandBauMechMstrV — Begriffsbestimmungen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Geräte, Maschinen sowie Anlagen im Sinne dieser Verordnung umfassen in den Bereichen der Landmaschinentechnik, der Innenwirtschaft, der Baumaschinentechnik, der Gartentechnik, der Forsttechnik, der Kommunaltechnik oder der Flurförderzeugtechnik</w:t>
      </w:r>
    </w:p>
    <w:p>
      <w:pPr>
        <w:ind w:left="420"/>
      </w:pPr>
      <w:r>
        <w:t xml:space="preserve">1. mechanische Geräte, mechanische Maschinen sowie mechanische Anlagen,</w:t>
      </w:r>
    </w:p>
    <w:p>
      <w:pPr>
        <w:ind w:left="420"/>
      </w:pPr>
      <w:r>
        <w:t xml:space="preserve">2. mechatronische Geräte, mechatronische Maschinen sowie mechatronische Anlagen,</w:t>
      </w:r>
    </w:p>
    <w:p>
      <w:pPr>
        <w:ind w:left="420"/>
      </w:pPr>
      <w:r>
        <w:t xml:space="preserve">3. vernetzte Geräte, vernetzte Maschinen sowie vernetzte Anlagen,</w:t>
      </w:r>
    </w:p>
    <w:p>
      <w:pPr>
        <w:ind w:left="420"/>
      </w:pPr>
      <w:r>
        <w:t xml:space="preserve">4. automatisierte Geräte, automatisierte Maschinen sowie automatisierte Anlagen,</w:t>
      </w:r>
    </w:p>
    <w:p>
      <w:pPr>
        <w:ind w:left="420"/>
      </w:pPr>
      <w:r>
        <w:t xml:space="preserve">5. smarte Geräte, smarte Maschinen sowie smarte Anlagen sowie</w:t>
      </w:r>
    </w:p>
    <w:p>
      <w:pPr>
        <w:ind w:left="420"/>
      </w:pPr>
      <w:r>
        <w:t xml:space="preserve">6. autonome Geräte, autonome Maschinen sowie autonome Anlagen.</w:t>
      </w:r>
    </w:p>
    <w:p>
      <w:r>
        <w:rPr>
          <w:color w:val="555555"/>
          <w:sz w:val="17"/>
        </w:rPr>
        <w:t xml:space="preserve">Zitiervorschlag: § 2 LandBauMechMstrV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https://recht.nulegal.eu/gesetze/LandBauMechMstrV/2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