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LandBauMechMstrV — Gegenstand</w:t>
      </w:r>
    </w:p>
    <w:p>
      <w:r>
        <w:rPr>
          <w:color w:val="555555"/>
          <w:sz w:val="18"/>
        </w:rPr>
        <w:t xml:space="preserve">Land- und Baumaschinenmechatronikermeisterverordnung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Diese Verordnung regelt das Meisterprüfungsberufsbild, die in der Prüfung in den Teilen I und II der Meisterprüfung zu stellenden Anforderungen sowie die Bestimmungen zur Durchführung der Meisterprüfung im Land- und Baumaschinenmechatroniker-Handwerk.</w:t>
      </w:r>
    </w:p>
    <w:p>
      <w:r>
        <w:rPr>
          <w:color w:val="555555"/>
          <w:sz w:val="17"/>
        </w:rPr>
        <w:t xml:space="preserve">Zitiervorschlag: § 1 LandBauMechMstrV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https://recht.nulegal.eu/gesetze/LandBauMechMstrV/1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