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LagerstGDV</w:t>
      </w:r>
    </w:p>
    <w:p>
      <w:r>
        <w:rPr>
          <w:color w:val="555555"/>
          <w:sz w:val="18"/>
        </w:rPr>
        <w:t xml:space="preserve">Lagerstättengesetz</w:t>
      </w:r>
    </w:p>
    <w:p>
      <w:r>
        <w:rPr>
          <w:color w:val="555555"/>
          <w:sz w:val="18"/>
        </w:rPr>
        <w:t xml:space="preserve">Historische Fassung: Stand 10.06.2019 bis 30.06.2020. Dies ist nicht die aktuelle Fassung.</w:t>
      </w:r>
    </w:p>
    <w:p>
      <w:r>
        <w:t xml:space="preserve">Auf Grund des § 11 Abs. 3 des Gesetzes über die Durchforschung des Reichsgebietes nach nutzbaren Lagerstätten (Lagerstättengesetz) vom 4. Dezember 1934 (Reichsgesetzbl. I S. 1223) wird verordnet:</w:t>
      </w:r>
    </w:p>
    <w:p>
      <w:r>
        <w:rPr>
          <w:color w:val="555555"/>
          <w:sz w:val="17"/>
        </w:rPr>
        <w:t xml:space="preserve">Zitiervorschlag: Eingangsformel LagerstGDV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https://recht.nulegal.eu/gesetze/LagerstGDV/eingangsformel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