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LagerstGDV — (zum § 3)</w:t>
      </w:r>
    </w:p>
    <w:p>
      <w:r>
        <w:rPr>
          <w:color w:val="555555"/>
          <w:sz w:val="18"/>
        </w:rPr>
        <w:t xml:space="preserve">Lagerstättengesetz</w:t>
      </w:r>
    </w:p>
    <w:p>
      <w:r>
        <w:rPr>
          <w:color w:val="555555"/>
          <w:sz w:val="18"/>
        </w:rPr>
        <w:t xml:space="preserve">Historische Fassung: Stand 10.06.2019 bis 30.06.2020. Dies ist nicht die aktuelle Fassung.</w:t>
      </w:r>
    </w:p>
    <w:p>
      <w:r>
        <w:t xml:space="preserve">(1) Für die Meldepflicht kommt es nicht darauf an, ob die Untersuchung von einer Privatperson, Behörde, Körperschaft des öffentlichen Rechts oder dergleichen ausgeführt wird.</w:t>
      </w:r>
    </w:p>
    <w:p>
      <w:r>
        <w:t xml:space="preserve">(2) Dasselbe gilt für die in den §§ 4 und 6 bestimmte Anzeige- und Einreichungspflicht.</w:t>
      </w:r>
    </w:p>
    <w:p>
      <w:r>
        <w:t xml:space="preserve">(3) Die Anzeige usw. ist an die ... örtlich zuständige Anstalt zu richten.</w:t>
      </w:r>
    </w:p>
    <w:p>
      <w:r>
        <w:rPr>
          <w:color w:val="555555"/>
          <w:sz w:val="17"/>
        </w:rPr>
        <w:t xml:space="preserve">Zitiervorschlag: Art 2 LagerstGDV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https://recht.nulegal.eu/gesetze/LagerstGDV/2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