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LagerstG</w:t>
      </w:r>
    </w:p>
    <w:p>
      <w:r>
        <w:rPr>
          <w:color w:val="555555"/>
          <w:sz w:val="18"/>
        </w:rPr>
        <w:t xml:space="preserve">Lagerstättengesetz</w:t>
      </w:r>
    </w:p>
    <w:p>
      <w:r>
        <w:rPr>
          <w:color w:val="555555"/>
          <w:sz w:val="18"/>
        </w:rPr>
        <w:t xml:space="preserve">Historische Fassung: Stand 10.06.2019 bis 30.06.2020. Dies ist nicht die aktuelle Fassung.</w:t>
      </w:r>
    </w:p>
    <w:p>
      <w:r>
        <w:t xml:space="preserve">Die Anzeige oder Einreichung durch einen Mitverpflichteten befreit die übrigen nach den §§ 3, 4, 5 oder 6 Verpflichteten von der Meldepflicht.</w:t>
      </w:r>
    </w:p>
    <w:p>
      <w:r>
        <w:rPr>
          <w:color w:val="555555"/>
          <w:sz w:val="17"/>
        </w:rPr>
        <w:t xml:space="preserve">Zitiervorschlag: § 7 LagerstG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https://recht.nulegal.eu/gesetze/LagerstG/7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