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Den beauftragten Personen (§ 2) steht der Zutritt zu allen Bohrungen und sonstigen Aufschlüssen im Benehmen mit der zuständigen Aufsichtsbehörde jederzeit offen.</w:t>
      </w:r>
    </w:p>
    <w:p>
      <w:r>
        <w:t xml:space="preserve">(2) Auf Verlangen hat der Bohrunternehmer (§ 4) diesen Personen die Bohrproben und sonstiges Beobachtungsmaterial vorzulegen, auch hat er ihnen erschöpfende Auskunft über die Aufschlußergebnisse zu erteilen. Bohr- und sonstige Gesteinproben dürfen nur mit Erlaubnis der zuständigen Anstalt (§ 1) oder ihrer Beauftragten vernichtet werden; auf Anfordern sind sie der Anstalt zur Verfügung zu stellen.</w:t>
      </w:r>
    </w:p>
    <w:p>
      <w:r>
        <w:rPr>
          <w:color w:val="555555"/>
          <w:sz w:val="17"/>
        </w:rPr>
        <w:t xml:space="preserve">Zitiervorschlag: § 5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