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LagerstG</w:t>
      </w:r>
    </w:p>
    <w:p>
      <w:r>
        <w:rPr>
          <w:color w:val="555555"/>
          <w:sz w:val="18"/>
        </w:rPr>
        <w:t xml:space="preserve">Lagerstättengesetz</w:t>
      </w:r>
    </w:p>
    <w:p>
      <w:r>
        <w:rPr>
          <w:color w:val="555555"/>
          <w:sz w:val="18"/>
        </w:rPr>
        <w:t xml:space="preserve">Historische Fassung: Stand 10.06.2019 bis 30.06.2020. Dies ist nicht die aktuelle Fassung.</w:t>
      </w:r>
    </w:p>
    <w:p>
      <w:r>
        <w:t xml:space="preserve">(1) Alle mit mechanischer Kraft angetriebenen Bohrungen müssen zwei Wochen vor Beginn der Arbeiten von demjenigen, der eine solche Bohrung für eigene oder fremde Rechnung ausführt, der zuständigen Anstalt (§ 1) angezeigt werden.</w:t>
      </w:r>
    </w:p>
    <w:p>
      <w:r>
        <w:t xml:space="preserve">(2)</w:t>
      </w:r>
    </w:p>
    <w:p>
      <w:r>
        <w:rPr>
          <w:color w:val="555555"/>
          <w:sz w:val="17"/>
        </w:rPr>
        <w:t xml:space="preserve">Zitiervorschlag: § 4 LagerstG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https://recht.nulegal.eu/gesetze/LagerstG/4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